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2" w:rsidRPr="00805AC9" w:rsidRDefault="006F2AA2" w:rsidP="006F2AA2">
      <w:r w:rsidRPr="00805AC9">
        <w:t>№</w:t>
      </w:r>
      <w:r w:rsidR="005918DD">
        <w:t>2</w:t>
      </w:r>
      <w:r w:rsidRPr="00805AC9">
        <w:t xml:space="preserve"> 201</w:t>
      </w:r>
      <w:r>
        <w:t>6</w:t>
      </w:r>
    </w:p>
    <w:p w:rsidR="006F2AA2" w:rsidRPr="00805AC9" w:rsidRDefault="006F2AA2" w:rsidP="006F2AA2"/>
    <w:p w:rsidR="006F2AA2" w:rsidRDefault="006F2AA2" w:rsidP="006F2AA2">
      <w:r w:rsidRPr="00507025">
        <w:rPr>
          <w:b/>
        </w:rPr>
        <w:t>ПРИРОДА</w:t>
      </w:r>
    </w:p>
    <w:p w:rsidR="006F2AA2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Общие вопросы природопользования </w:t>
      </w:r>
    </w:p>
    <w:p w:rsidR="006F2AA2" w:rsidRDefault="006F2AA2" w:rsidP="006F2AA2"/>
    <w:p w:rsidR="00F80AC8" w:rsidRPr="00F80AC8" w:rsidRDefault="00F80AC8" w:rsidP="00F80AC8">
      <w:pPr>
        <w:rPr>
          <w:b/>
        </w:rPr>
      </w:pPr>
      <w:r w:rsidRPr="00F80AC8">
        <w:rPr>
          <w:b/>
        </w:rPr>
        <w:t xml:space="preserve">Природные опасности и показатели риска в Крымском федеральном округе </w:t>
      </w:r>
    </w:p>
    <w:p w:rsidR="00F80AC8" w:rsidRDefault="00F80AC8" w:rsidP="00F80AC8">
      <w:r w:rsidRPr="00F80AC8">
        <w:t>Е.И. Игнатов</w:t>
      </w:r>
      <w:r w:rsidRPr="00F80AC8">
        <w:rPr>
          <w:vertAlign w:val="superscript"/>
        </w:rPr>
        <w:t>1</w:t>
      </w:r>
      <w:r w:rsidRPr="00F80AC8">
        <w:t>, д.г.н., проф., А.А. Новиков</w:t>
      </w:r>
      <w:r w:rsidRPr="00F80AC8">
        <w:rPr>
          <w:vertAlign w:val="superscript"/>
        </w:rPr>
        <w:t>2</w:t>
      </w:r>
      <w:r w:rsidRPr="00F80AC8">
        <w:t>, Е.С. Каширина</w:t>
      </w:r>
      <w:r w:rsidRPr="00F80AC8">
        <w:rPr>
          <w:vertAlign w:val="superscript"/>
        </w:rPr>
        <w:t>2</w:t>
      </w:r>
      <w:r w:rsidRPr="00F80AC8">
        <w:t>, А.В. Калиниченко</w:t>
      </w:r>
      <w:r w:rsidRPr="00F80AC8">
        <w:rPr>
          <w:vertAlign w:val="superscript"/>
        </w:rPr>
        <w:t>2</w:t>
      </w:r>
      <w:r>
        <w:t xml:space="preserve"> </w:t>
      </w:r>
    </w:p>
    <w:p w:rsidR="00F80AC8" w:rsidRDefault="00F80AC8" w:rsidP="00F80AC8">
      <w:r w:rsidRPr="00F80AC8">
        <w:rPr>
          <w:vertAlign w:val="superscript"/>
        </w:rPr>
        <w:t>1</w:t>
      </w:r>
      <w:r w:rsidRPr="00F80AC8">
        <w:t xml:space="preserve">Крымское отделение Российской экологической академии </w:t>
      </w:r>
    </w:p>
    <w:p w:rsidR="00F80AC8" w:rsidRPr="00F80AC8" w:rsidRDefault="00F80AC8" w:rsidP="00F80AC8">
      <w:r w:rsidRPr="00F80AC8">
        <w:rPr>
          <w:vertAlign w:val="superscript"/>
        </w:rPr>
        <w:t>2</w:t>
      </w:r>
      <w:r w:rsidRPr="00F80AC8">
        <w:t xml:space="preserve">Черноморский филиал МГУ им. М.В. Ломоносова, г. Севастополь </w:t>
      </w:r>
    </w:p>
    <w:p w:rsidR="00F80AC8" w:rsidRPr="00F80AC8" w:rsidRDefault="00F80AC8" w:rsidP="00F80AC8">
      <w:r w:rsidRPr="00F80AC8">
        <w:t>В статье приведен обзор природных опасностей и вызываемых ими чрезвычайных ситуаций, характерных для Республики Крым и города Севастополя. Природные опасности рассматриваютс</w:t>
      </w:r>
      <w:r>
        <w:t>я на основе генетической класси</w:t>
      </w:r>
      <w:r w:rsidRPr="00F80AC8">
        <w:t xml:space="preserve">фикации. По итогам анализа выявлены районы локализации природных опасностей, приведены показатели риска. </w:t>
      </w:r>
    </w:p>
    <w:p w:rsidR="00F80AC8" w:rsidRPr="00F80AC8" w:rsidRDefault="00F80AC8" w:rsidP="00F80AC8">
      <w:r w:rsidRPr="00F80AC8">
        <w:t>Ключевые слова: чрезвычайная ситуация, природные риски, природные опасности, геоморфолог</w:t>
      </w:r>
      <w:r>
        <w:t>ические про</w:t>
      </w:r>
      <w:r w:rsidRPr="00F80AC8">
        <w:t>цессы, оползни, обвалы, карст, Крым, Севастополь.</w:t>
      </w:r>
    </w:p>
    <w:p w:rsidR="00F80AC8" w:rsidRDefault="00F80AC8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Минеральные ресурсы </w:t>
      </w:r>
    </w:p>
    <w:p w:rsidR="006F2AA2" w:rsidRDefault="006F2AA2" w:rsidP="006F2AA2"/>
    <w:p w:rsidR="00AF7B7C" w:rsidRPr="00AF7B7C" w:rsidRDefault="00AF7B7C" w:rsidP="00AF7B7C">
      <w:pPr>
        <w:rPr>
          <w:b/>
        </w:rPr>
      </w:pPr>
      <w:r w:rsidRPr="00AF7B7C">
        <w:rPr>
          <w:b/>
        </w:rPr>
        <w:t xml:space="preserve">Геологоразведка за рубежом: ретроспективный взгляд и перспективы </w:t>
      </w:r>
    </w:p>
    <w:p w:rsidR="00AF7B7C" w:rsidRPr="00AF7B7C" w:rsidRDefault="00AF7B7C" w:rsidP="00AF7B7C">
      <w:r w:rsidRPr="00AF7B7C">
        <w:t xml:space="preserve">С.В. Белов, доктор геолого-минералогических наук, ООО «ОЗГЕО» </w:t>
      </w:r>
    </w:p>
    <w:p w:rsidR="00AF7B7C" w:rsidRPr="00AF7B7C" w:rsidRDefault="00AF7B7C" w:rsidP="00AF7B7C">
      <w:r w:rsidRPr="00AF7B7C">
        <w:t>Статья посвящена более чем полувековой истории геологоразведки за рубежом. Показано как организационно было оформлено её проведение. Названы руководители геологоразведки за рубе</w:t>
      </w:r>
      <w:r>
        <w:t>жом, от начальника первой экспе</w:t>
      </w:r>
      <w:r w:rsidRPr="00AF7B7C">
        <w:t>диции по зарубежным работам до гендиректоров ОАО «Зарубежгеология». Охарактеризована роль отечественных геологов в выявлении и последующей разведке крупных рудных объектов. В качестве примеров детально описаны истории открытий крупномасштабных ртутных месторождений в Алжире, железа, марганца и угля в Иране, тантала в Эфиопии. Подчёркивается, что в условиях глобализации минерально-сырьевого</w:t>
      </w:r>
      <w:r>
        <w:t xml:space="preserve"> сектора, исторический опыт гео</w:t>
      </w:r>
      <w:r w:rsidRPr="00AF7B7C">
        <w:t xml:space="preserve">логических работ за рубежом оказывается особенно ценным. </w:t>
      </w:r>
    </w:p>
    <w:p w:rsidR="006F2AA2" w:rsidRPr="00AF7B7C" w:rsidRDefault="00AF7B7C" w:rsidP="00AF7B7C">
      <w:r w:rsidRPr="00AF7B7C">
        <w:t>Ключевые слова: история ОАО «Зарубежгеология», геологоразведка за руб</w:t>
      </w:r>
      <w:r>
        <w:t>ежом, крупные месторождения, Ал</w:t>
      </w:r>
      <w:r w:rsidRPr="00AF7B7C">
        <w:t>жир, Иран, Эфиопия, Мозамбик.</w:t>
      </w:r>
    </w:p>
    <w:p w:rsidR="00F80AC8" w:rsidRPr="006F2AA2" w:rsidRDefault="00F80AC8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Водные ресурсы </w:t>
      </w:r>
    </w:p>
    <w:p w:rsidR="006F2AA2" w:rsidRDefault="006F2AA2" w:rsidP="006F2AA2"/>
    <w:p w:rsidR="00AF7B7C" w:rsidRPr="00AF7B7C" w:rsidRDefault="00AF7B7C" w:rsidP="00AF7B7C">
      <w:pPr>
        <w:rPr>
          <w:b/>
        </w:rPr>
      </w:pPr>
      <w:r w:rsidRPr="00AF7B7C">
        <w:rPr>
          <w:b/>
        </w:rPr>
        <w:t xml:space="preserve">О порядке составления и актуализации перечня экологически опасных веществ, поступающих в поверхностные водные объекты </w:t>
      </w:r>
    </w:p>
    <w:p w:rsidR="00AF7B7C" w:rsidRDefault="00AF7B7C" w:rsidP="00AF7B7C">
      <w:r w:rsidRPr="00AF7B7C">
        <w:t>Л.С. Пономарева</w:t>
      </w:r>
      <w:r w:rsidRPr="00AF7B7C">
        <w:rPr>
          <w:vertAlign w:val="superscript"/>
        </w:rPr>
        <w:t>1</w:t>
      </w:r>
      <w:r w:rsidRPr="00AF7B7C">
        <w:t>, В.Н. Кузьмич</w:t>
      </w:r>
      <w:r w:rsidRPr="00AF7B7C">
        <w:rPr>
          <w:vertAlign w:val="superscript"/>
        </w:rPr>
        <w:t>2</w:t>
      </w:r>
      <w:r w:rsidRPr="00AF7B7C">
        <w:t xml:space="preserve">, к.б.н. </w:t>
      </w:r>
    </w:p>
    <w:p w:rsidR="00AF7B7C" w:rsidRDefault="00AF7B7C" w:rsidP="00AF7B7C">
      <w:r w:rsidRPr="00AF7B7C">
        <w:rPr>
          <w:vertAlign w:val="superscript"/>
        </w:rPr>
        <w:t>1</w:t>
      </w:r>
      <w:r w:rsidRPr="00AF7B7C">
        <w:t xml:space="preserve">Центр анализа и техногенного воздействия Росприроднадзора </w:t>
      </w:r>
    </w:p>
    <w:p w:rsidR="00AF7B7C" w:rsidRPr="00AF7B7C" w:rsidRDefault="00AF7B7C" w:rsidP="00AF7B7C">
      <w:r w:rsidRPr="00AF7B7C">
        <w:rPr>
          <w:vertAlign w:val="superscript"/>
        </w:rPr>
        <w:t>2</w:t>
      </w:r>
      <w:r w:rsidRPr="00AF7B7C">
        <w:t xml:space="preserve">НИА-Природа </w:t>
      </w:r>
    </w:p>
    <w:p w:rsidR="00AF7B7C" w:rsidRPr="00AF7B7C" w:rsidRDefault="00AF7B7C" w:rsidP="00AF7B7C">
      <w:r w:rsidRPr="00AF7B7C">
        <w:t xml:space="preserve">Порядок составления и актуализации перечня экологически опасных веществ в воде поверхностных водных объектов содержит критерии отнесения химических веществ к экологически опасным веществам, поступление которых в водные объекты должно быть исключено, либо подлежать строгому контролю. Порядок направлен на организацию информирования органов государственного надзора и контроля за применением опасных веществ на территории Российской Федерации и поступлением их в водные объекты, на выполнение обязательств Российской стороны, принятых в рамках международных конвенций. </w:t>
      </w:r>
    </w:p>
    <w:p w:rsidR="006F2AA2" w:rsidRPr="00AF7B7C" w:rsidRDefault="00AF7B7C" w:rsidP="00AF7B7C">
      <w:r w:rsidRPr="00AF7B7C">
        <w:t>Ключевые слова: водные объекты, экологически опасные вещества, стратегические документы, обязательства, международные конвенции, критерии отнесения, перечень, порядок составления, актуализация, применение ве</w:t>
      </w:r>
      <w:r w:rsidRPr="00AF7B7C">
        <w:softHyphen/>
        <w:t>ществ, органы надзора, контроль, информация.</w:t>
      </w:r>
    </w:p>
    <w:p w:rsidR="00F80AC8" w:rsidRPr="00507025" w:rsidRDefault="00F80AC8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Земельные ресурсы и почвы </w:t>
      </w:r>
    </w:p>
    <w:p w:rsidR="006F2AA2" w:rsidRPr="00F80AC8" w:rsidRDefault="006F2AA2" w:rsidP="006F2AA2"/>
    <w:p w:rsidR="00AF7B7C" w:rsidRPr="00AF7B7C" w:rsidRDefault="00AF7B7C" w:rsidP="00AF7B7C">
      <w:pPr>
        <w:rPr>
          <w:b/>
        </w:rPr>
      </w:pPr>
      <w:r w:rsidRPr="00AF7B7C">
        <w:rPr>
          <w:b/>
        </w:rPr>
        <w:t xml:space="preserve">Эколого-этические принципы и требования при подготовке специалистов сферы землеустройства и кадастров </w:t>
      </w:r>
    </w:p>
    <w:p w:rsidR="00AF7B7C" w:rsidRPr="00AF7B7C" w:rsidRDefault="00AF7B7C" w:rsidP="00AF7B7C">
      <w:r w:rsidRPr="00AF7B7C">
        <w:t xml:space="preserve">А.П. Сизов, д.т.н., кафедра кадастра и основ земельного права, МИИГАиК </w:t>
      </w:r>
    </w:p>
    <w:p w:rsidR="00AF7B7C" w:rsidRPr="00AF7B7C" w:rsidRDefault="00AF7B7C" w:rsidP="00AF7B7C">
      <w:r w:rsidRPr="00AF7B7C">
        <w:t>Работы по землеустройству и кадастрам как инженерные работы включают ряд технологических переделов. В процессе подготовки специалистов данной сферы в рамках инженерного образования и в их производственной деятельности необходимо опираться на комплекс эколого-этических принципов и требований. П</w:t>
      </w:r>
      <w:r>
        <w:t>оказаны возмож</w:t>
      </w:r>
      <w:r w:rsidRPr="00AF7B7C">
        <w:t>ные решения этой проблемы при актуализации ФГОСов для направления «Землеустройство и кадастры», разра</w:t>
      </w:r>
      <w:r w:rsidRPr="00AF7B7C">
        <w:softHyphen/>
        <w:t xml:space="preserve">ботке профессиональных стандартов и подготовке локальных нормативных актов. Следующей задачей становится обеспечение надлежащего контроля за соблюдением эколого-этических принципов и требований в кадастровой и землеустроительной сферах. </w:t>
      </w:r>
    </w:p>
    <w:p w:rsidR="00F80AC8" w:rsidRPr="00AF7B7C" w:rsidRDefault="00AF7B7C" w:rsidP="00AF7B7C">
      <w:r w:rsidRPr="00AF7B7C">
        <w:t>Ключевые слова: землеустройство, инженерное образование, кадастры, к</w:t>
      </w:r>
      <w:r>
        <w:t>омпетенция, направление «Землеу</w:t>
      </w:r>
      <w:r w:rsidRPr="00AF7B7C">
        <w:t>стройство и кадастры», технологический передел, профессиональные стандарты, саморегулируемые организации, ФГОС, эколого-этические принципы, эколого-этические требования.</w:t>
      </w:r>
    </w:p>
    <w:p w:rsidR="00F80AC8" w:rsidRPr="00507025" w:rsidRDefault="00F80AC8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Лесные ресурсы </w:t>
      </w:r>
    </w:p>
    <w:p w:rsidR="006F2AA2" w:rsidRDefault="006F2AA2" w:rsidP="006F2AA2"/>
    <w:p w:rsidR="00AE5898" w:rsidRPr="00AE5898" w:rsidRDefault="00AE5898" w:rsidP="00AE5898">
      <w:pPr>
        <w:rPr>
          <w:b/>
        </w:rPr>
      </w:pPr>
      <w:r w:rsidRPr="00AE5898">
        <w:rPr>
          <w:b/>
        </w:rPr>
        <w:t xml:space="preserve">Комплексное освоение лесных богатств </w:t>
      </w:r>
    </w:p>
    <w:p w:rsidR="00AE5898" w:rsidRPr="00AE5898" w:rsidRDefault="00AE5898" w:rsidP="00AE5898">
      <w:r w:rsidRPr="00AE5898">
        <w:t xml:space="preserve">В.И. Кашин, академик РАН, Комитет Госдумы по природным ресурсам, природопользованию и экологии </w:t>
      </w:r>
    </w:p>
    <w:p w:rsidR="00AE5898" w:rsidRPr="00AE5898" w:rsidRDefault="00AE5898" w:rsidP="00AE5898">
      <w:r w:rsidRPr="00AE5898">
        <w:t>Доклад Председателя Комитета Государственной Думы по природным ресур</w:t>
      </w:r>
      <w:r>
        <w:t>сам, природопользованию и эколо</w:t>
      </w:r>
      <w:r w:rsidRPr="00AE5898">
        <w:t xml:space="preserve">гии, академика РАН В.И. Кашина на Всероссийском совещании «Основные итоги </w:t>
      </w:r>
      <w:r>
        <w:t>работы лесного хозяйства Россий</w:t>
      </w:r>
      <w:r w:rsidRPr="00AE5898">
        <w:t xml:space="preserve">ской Федерации в 2015 году и задачи на 2016 год» (Москва, Министерство природных ресурсов и экологии Российской Федерации 14 апреля 2016 г.). </w:t>
      </w:r>
    </w:p>
    <w:p w:rsidR="00F80AC8" w:rsidRPr="00AE5898" w:rsidRDefault="00AE5898" w:rsidP="00AE5898">
      <w:r w:rsidRPr="00AE5898">
        <w:t>Ключевые слова: леса, лесные ресурсы, лесное хозяйство, лесопромышленный к</w:t>
      </w:r>
      <w:r>
        <w:t>омплекс, сырьевой потенциал, ис</w:t>
      </w:r>
      <w:r w:rsidRPr="00AE5898">
        <w:t>пользование лесов, лесоустройство и кадастр, лесоуправление, воспроизводство лесов, лесное законодательство.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Биологические ресурсы суши </w:t>
      </w:r>
    </w:p>
    <w:p w:rsidR="006F2AA2" w:rsidRDefault="006F2AA2" w:rsidP="006F2AA2"/>
    <w:p w:rsidR="00AE5898" w:rsidRPr="00AE5898" w:rsidRDefault="00AE5898" w:rsidP="00AE5898">
      <w:pPr>
        <w:rPr>
          <w:b/>
        </w:rPr>
      </w:pPr>
      <w:r w:rsidRPr="00AE5898">
        <w:rPr>
          <w:b/>
        </w:rPr>
        <w:t xml:space="preserve">Cоя как важнейший биоресурс для обеспечения продовольственной безопасности России </w:t>
      </w:r>
    </w:p>
    <w:p w:rsidR="00AE5898" w:rsidRPr="00AE5898" w:rsidRDefault="00AE5898" w:rsidP="00AE5898">
      <w:r w:rsidRPr="00AE5898">
        <w:t xml:space="preserve">В.А. Долгинова, к.б.н., Российский центр агромаркетинга «АгроПрогноз» Н.Н. Рыбальский, к.б.н., факультет почвоведения МГУ им. М.В. Ломоносова </w:t>
      </w:r>
    </w:p>
    <w:p w:rsidR="00AE5898" w:rsidRPr="00AE5898" w:rsidRDefault="00AE5898" w:rsidP="00AE5898">
      <w:r w:rsidRPr="00AE5898">
        <w:t>В статье обосновывается рассмотрение сои как важнейшего сельскохозяйствен</w:t>
      </w:r>
      <w:r>
        <w:t>ного биоресурса. Приводится обо</w:t>
      </w:r>
      <w:r w:rsidRPr="00AE5898">
        <w:t>снование важности растительного белка сои в обеспечении продовольственной безопа</w:t>
      </w:r>
      <w:r w:rsidR="00D2477C">
        <w:t>сности России. Показано, что не</w:t>
      </w:r>
      <w:r w:rsidRPr="00AE5898">
        <w:t xml:space="preserve">гативное отношение к сое в социокультурном пространстве не имеет под собой оснований. Приводятся оценки спроса на сою и данные об импорте в сравнении с собственным производством сои. Обсуждается стратегия развития соеводства в России. </w:t>
      </w:r>
    </w:p>
    <w:p w:rsidR="00F80AC8" w:rsidRPr="00AE5898" w:rsidRDefault="00AE5898" w:rsidP="00AE5898">
      <w:r w:rsidRPr="00AE5898">
        <w:t xml:space="preserve">Ключевые слова: продовольственная безопасность, биоресурсы, соя, борьба с голодом, продовольствие, рынок сои, продовольственная проблема, дефицит белка, продовольственные ресурсы, соевый </w:t>
      </w:r>
      <w:r w:rsidR="00D2477C">
        <w:t>кластер, натуральная соя, социо</w:t>
      </w:r>
      <w:r w:rsidRPr="00AE5898">
        <w:t>культурный феномен, соя в России, выращивание сои, импорт и экспорт сои, стратегия развития соеводства.</w:t>
      </w:r>
    </w:p>
    <w:p w:rsidR="006F2AA2" w:rsidRDefault="006F2AA2" w:rsidP="006F2AA2"/>
    <w:p w:rsidR="00D2477C" w:rsidRPr="00D2477C" w:rsidRDefault="00D2477C" w:rsidP="00D2477C">
      <w:pPr>
        <w:ind w:left="709" w:firstLine="0"/>
        <w:rPr>
          <w:b/>
        </w:rPr>
      </w:pPr>
      <w:r w:rsidRPr="00D2477C">
        <w:rPr>
          <w:b/>
        </w:rPr>
        <w:t xml:space="preserve">Современное состояние естественной флоры однодольных в Горном Дагестане </w:t>
      </w:r>
    </w:p>
    <w:p w:rsidR="00D2477C" w:rsidRPr="00D2477C" w:rsidRDefault="00D2477C" w:rsidP="00D2477C">
      <w:r w:rsidRPr="00D2477C">
        <w:lastRenderedPageBreak/>
        <w:t xml:space="preserve">А.И. Хизриева, биологический факультет Дагестанского государственного университета </w:t>
      </w:r>
    </w:p>
    <w:p w:rsidR="00D2477C" w:rsidRPr="00D2477C" w:rsidRDefault="00D2477C" w:rsidP="00D2477C">
      <w:r w:rsidRPr="00D2477C">
        <w:t>Приведен анализ класса однодольные в составе флоры бассейна р. Казикумухское Ко</w:t>
      </w:r>
      <w:r>
        <w:t>йсу (Горный Дагестан). Вы</w:t>
      </w:r>
      <w:r w:rsidRPr="00D2477C">
        <w:t xml:space="preserve">делены виды с особым статусом. </w:t>
      </w:r>
    </w:p>
    <w:p w:rsidR="00D2477C" w:rsidRPr="00D2477C" w:rsidRDefault="00D2477C" w:rsidP="00D2477C">
      <w:r w:rsidRPr="00D2477C">
        <w:t>Ключевые слова: класс однодольные, бассейновая флора, Дагестан.</w:t>
      </w:r>
    </w:p>
    <w:p w:rsidR="00D2477C" w:rsidRPr="00507025" w:rsidRDefault="00D2477C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Климатические ресурсы </w:t>
      </w:r>
    </w:p>
    <w:p w:rsidR="006F2AA2" w:rsidRDefault="006F2AA2" w:rsidP="006F2AA2"/>
    <w:p w:rsidR="00D2477C" w:rsidRPr="00D2477C" w:rsidRDefault="00D2477C" w:rsidP="00D2477C">
      <w:r w:rsidRPr="00D2477C">
        <w:t xml:space="preserve">Многолетние изменения основных метеорологических характеристик в бассейне Амура </w:t>
      </w:r>
    </w:p>
    <w:p w:rsidR="00D2477C" w:rsidRDefault="00D2477C" w:rsidP="00D2477C">
      <w:r w:rsidRPr="00D2477C">
        <w:t>Ж.В. Кузьмина</w:t>
      </w:r>
      <w:r w:rsidRPr="00D2477C">
        <w:rPr>
          <w:vertAlign w:val="superscript"/>
        </w:rPr>
        <w:t>1</w:t>
      </w:r>
      <w:r w:rsidRPr="00D2477C">
        <w:t>, д.г.н., С.Е. Трешкин</w:t>
      </w:r>
      <w:r w:rsidRPr="00D2477C">
        <w:rPr>
          <w:vertAlign w:val="superscript"/>
        </w:rPr>
        <w:t>2</w:t>
      </w:r>
      <w:r w:rsidRPr="00D2477C">
        <w:t xml:space="preserve">, д.с.-х.н. </w:t>
      </w:r>
    </w:p>
    <w:p w:rsidR="00D2477C" w:rsidRDefault="00D2477C" w:rsidP="00D2477C">
      <w:r w:rsidRPr="00D2477C">
        <w:rPr>
          <w:vertAlign w:val="superscript"/>
        </w:rPr>
        <w:t>1</w:t>
      </w:r>
      <w:r w:rsidRPr="00D2477C">
        <w:t xml:space="preserve">Институт водных проблем РАН </w:t>
      </w:r>
    </w:p>
    <w:p w:rsidR="00D2477C" w:rsidRPr="00D2477C" w:rsidRDefault="00D2477C" w:rsidP="00D2477C">
      <w:r w:rsidRPr="00D2477C">
        <w:rPr>
          <w:vertAlign w:val="superscript"/>
        </w:rPr>
        <w:t>2</w:t>
      </w:r>
      <w:r w:rsidRPr="00D2477C">
        <w:t xml:space="preserve">Федеральное агентство научных организаций </w:t>
      </w:r>
    </w:p>
    <w:p w:rsidR="00D2477C" w:rsidRPr="00D2477C" w:rsidRDefault="00D2477C" w:rsidP="00D2477C">
      <w:r w:rsidRPr="00D2477C">
        <w:t xml:space="preserve">Для бассейна Амура проанализирована многолетняя годовая, полугодовая и сезонная динамика влажностно- температурного режима на основе анализа совокупного влияния изменений температуры и осадков по их трендам за многолетний период (за 54-174 года, т.е. с момента открытия станций по 2013 г.) на основе суточных наблюдений 19 метеорологических станций ВМО. Проведено сравнение полученных данных с тремя метеостанциями Ленского бассейна. Выявлены основные многолетние изменения климата в бассейне Амура. </w:t>
      </w:r>
    </w:p>
    <w:p w:rsidR="00F80AC8" w:rsidRPr="00D2477C" w:rsidRDefault="00D2477C" w:rsidP="00D2477C">
      <w:r w:rsidRPr="00D2477C">
        <w:t>Ключевые слова: средняя температура воздуха, суммарные атмосферные осадки, индекс засушливости Д.А. Педя, модифицированный индекс засушливости Д.А. Педя, климатические изменения.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Рекреационные ресурсы и ООПТ </w:t>
      </w:r>
    </w:p>
    <w:p w:rsidR="006F2AA2" w:rsidRDefault="006F2AA2" w:rsidP="006F2AA2"/>
    <w:p w:rsidR="00D2477C" w:rsidRPr="00D2477C" w:rsidRDefault="00D2477C" w:rsidP="00D2477C">
      <w:pPr>
        <w:rPr>
          <w:b/>
        </w:rPr>
      </w:pPr>
      <w:r w:rsidRPr="00D2477C">
        <w:rPr>
          <w:b/>
        </w:rPr>
        <w:t xml:space="preserve">Оценка экосистемных услуг особо охраняемых и парковых территорий </w:t>
      </w:r>
    </w:p>
    <w:p w:rsidR="00D2477C" w:rsidRPr="00D2477C" w:rsidRDefault="00D2477C" w:rsidP="00D2477C">
      <w:r w:rsidRPr="00D2477C">
        <w:t xml:space="preserve">К.С. Бодров, А.С. Яковлев, д.б.н., О.В. Семенюк, к.б.н. Факультет почвоведения МГУ М.В. Ломоносова </w:t>
      </w:r>
    </w:p>
    <w:p w:rsidR="00D2477C" w:rsidRPr="00D2477C" w:rsidRDefault="00D2477C" w:rsidP="00D2477C">
      <w:r w:rsidRPr="00D2477C">
        <w:t>Понятие «устойчивого развития» предусматривает, что устойчивым и рациональным в первую очередь должно быть использование природного капитала (экосистемных активов), а также оказание и потребление экосистемных услуг. В этой связи в статье даются определения основных категорий устойчив</w:t>
      </w:r>
      <w:r>
        <w:t>ого развития применительно к во</w:t>
      </w:r>
      <w:r w:rsidRPr="00D2477C">
        <w:t xml:space="preserve">просам защиты природы в целом и особо охраняемых природных территорий в частности. Подробно описываются существующие методологические подходы к выделению и оценке экосистем и </w:t>
      </w:r>
      <w:r>
        <w:t>экосистемных (экологических) ус</w:t>
      </w:r>
      <w:r w:rsidRPr="00D2477C">
        <w:t>луг. Рассмотрены основные принципы расчетов стоимости указанных услуг, в том числе оказываемых ос</w:t>
      </w:r>
      <w:r>
        <w:t>обо охра</w:t>
      </w:r>
      <w:r w:rsidRPr="00D2477C">
        <w:t xml:space="preserve">няемыми объектами. </w:t>
      </w:r>
    </w:p>
    <w:p w:rsidR="00F80AC8" w:rsidRPr="00D2477C" w:rsidRDefault="00D2477C" w:rsidP="00D2477C">
      <w:r w:rsidRPr="00D2477C">
        <w:t>Ключевые слова: экосистемные услуги, экономическая оценка экосистемных услуг, экологические функции почв, услуги ООПТ и парковых территорий.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Охрана окружающей среды </w:t>
      </w:r>
    </w:p>
    <w:p w:rsidR="006F2AA2" w:rsidRDefault="006F2AA2" w:rsidP="006F2AA2"/>
    <w:p w:rsidR="001C1E94" w:rsidRPr="001C1E94" w:rsidRDefault="001C1E94" w:rsidP="001C1E94">
      <w:pPr>
        <w:rPr>
          <w:b/>
        </w:rPr>
      </w:pPr>
      <w:r w:rsidRPr="001C1E94">
        <w:rPr>
          <w:b/>
        </w:rPr>
        <w:t xml:space="preserve">Проблема твердых коммунальных отходов и статистика </w:t>
      </w:r>
    </w:p>
    <w:p w:rsidR="001C1E94" w:rsidRPr="001C1E94" w:rsidRDefault="001C1E94" w:rsidP="001C1E94">
      <w:r w:rsidRPr="001C1E94">
        <w:t xml:space="preserve">А.Д. Думнов, д.э.н., Национальное информационное агентство «Природные ресурсы», А.А. Романов, д.э.н., ЗАО «Федеральный институт сертификации и оценки интеллектуальной собственности и бизнеса» </w:t>
      </w:r>
    </w:p>
    <w:p w:rsidR="001C1E94" w:rsidRPr="001C1E94" w:rsidRDefault="001C1E94" w:rsidP="001C1E94">
      <w:r w:rsidRPr="001C1E94">
        <w:t>Статья посвящена проблеме статистического отражения обращения с твердыми бытовыми отходами, ТБО (в современной терминологии – твердыми коммунальными отходами, ТКО). Дан краткий статистический анализ основных тенденций, сложившихся в России и иных странах. Исследованы принятые в нашей стране в последние годы законодательные акты и правительственные постановления, направленны</w:t>
      </w:r>
      <w:r w:rsidR="00D42061">
        <w:t>е на улучшение сложившейся ситу</w:t>
      </w:r>
      <w:r w:rsidRPr="001C1E94">
        <w:t xml:space="preserve">ации; дана оценка их влияния на реформирование статистики ТКО. </w:t>
      </w:r>
      <w:r w:rsidRPr="001C1E94">
        <w:lastRenderedPageBreak/>
        <w:t>Раскрыта о</w:t>
      </w:r>
      <w:r>
        <w:t>рганизация и методология получе</w:t>
      </w:r>
      <w:r w:rsidRPr="001C1E94">
        <w:t xml:space="preserve">ния необходимых сведений в системе ОЭСР/Евростата, а также в США. Сформулированы конкретные замечания и предложения. </w:t>
      </w:r>
    </w:p>
    <w:p w:rsidR="00F80AC8" w:rsidRPr="001C1E94" w:rsidRDefault="001C1E94" w:rsidP="001C1E94">
      <w:r w:rsidRPr="001C1E94">
        <w:t>Ключевые слова: твердые бытовые отходы (ТБО), твердые коммунальные отходы (ТКО), законодательство в области ТБО/ТКО, экологический сбор, статистический анализ, организа</w:t>
      </w:r>
      <w:r>
        <w:t>ция статистики ТБО/ТКО, междуна</w:t>
      </w:r>
      <w:r w:rsidRPr="001C1E94">
        <w:t>родный опыт и практика, межгосударственные сравнения.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Геодезия и картография </w:t>
      </w:r>
    </w:p>
    <w:p w:rsidR="006F2AA2" w:rsidRDefault="006F2AA2" w:rsidP="006F2AA2"/>
    <w:p w:rsidR="00D42061" w:rsidRPr="00D42061" w:rsidRDefault="00D42061" w:rsidP="00D42061">
      <w:pPr>
        <w:rPr>
          <w:b/>
        </w:rPr>
      </w:pPr>
      <w:r w:rsidRPr="00D42061">
        <w:rPr>
          <w:b/>
        </w:rPr>
        <w:t xml:space="preserve">Картографирование редких видов лишайников </w:t>
      </w:r>
    </w:p>
    <w:p w:rsidR="00D42061" w:rsidRPr="00D42061" w:rsidRDefault="00D42061" w:rsidP="00D42061">
      <w:r w:rsidRPr="00D42061">
        <w:t xml:space="preserve">А.А. Присяжная, к.б.н., В.Р. Хрисанов, к.г.н., Г.В. Митенко, н.с., Институт фундаментальных проблем биологии РАН </w:t>
      </w:r>
    </w:p>
    <w:p w:rsidR="00D42061" w:rsidRPr="00D42061" w:rsidRDefault="00D42061" w:rsidP="00D42061">
      <w:r w:rsidRPr="00D42061">
        <w:t xml:space="preserve">В.В. Снакин, д.б.н., Московский государственный университет имени М.В. Ломоносова (Музей землеведения), Институт фундаментальных проблем биологии РАН, Президиум Российской экологической академии </w:t>
      </w:r>
    </w:p>
    <w:p w:rsidR="00D42061" w:rsidRPr="00D42061" w:rsidRDefault="00D42061" w:rsidP="00D42061">
      <w:r w:rsidRPr="00D42061">
        <w:t>Представлен новый картографический материал по распространению лишайников всех категорий редкости на территории России. Показано, что краснокнижные виды лишайников представ</w:t>
      </w:r>
      <w:r>
        <w:t>лены повсеместно. Выделены реги</w:t>
      </w:r>
      <w:r w:rsidRPr="00D42061">
        <w:t>оны с наибольшим видовым составом редких лишайников – горные территории Кавказа, Алтая, Саян, Забайкалья, острова Сахалин, а также районы озера Байкал, южной части Курильских островов, Приморья и Чукотского по</w:t>
      </w:r>
      <w:r w:rsidRPr="00D42061">
        <w:softHyphen/>
        <w:t>луострова. Территории Западной и Центральной Сибири, юго-западные и ю</w:t>
      </w:r>
      <w:r>
        <w:t>жные части России характеризуют</w:t>
      </w:r>
      <w:r w:rsidRPr="00D42061">
        <w:t xml:space="preserve">ся минимальной концентрацией видов охраняемых лишайников. Проведена оценка видового разнообразия всех лишайников в границах субъектов Российской Федерации. Показано, что самое высокое видовое разнообразие лишайников отмечено на Северном Кавказе и в центральной части России, минимальное – в степных регионах России. </w:t>
      </w:r>
    </w:p>
    <w:p w:rsidR="00F80AC8" w:rsidRPr="00D42061" w:rsidRDefault="00D42061" w:rsidP="00D42061">
      <w:r w:rsidRPr="00D42061">
        <w:t>Ключевые слова: лишайники, видовое разнообразие, Красная книга Российской Федерации, Красный список МСОП, перечни редких и находящихся под угрозой исчезновения видов, категории статуса редкости видов.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ПРИРОДА и ОБЩЕСТВО 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Юбилеи </w:t>
      </w:r>
    </w:p>
    <w:p w:rsidR="006F2AA2" w:rsidRDefault="006F2AA2" w:rsidP="006F2AA2"/>
    <w:p w:rsidR="00D42061" w:rsidRPr="00D42061" w:rsidRDefault="00D42061" w:rsidP="00D42061">
      <w:pPr>
        <w:rPr>
          <w:b/>
        </w:rPr>
      </w:pPr>
      <w:r w:rsidRPr="00D42061">
        <w:rPr>
          <w:b/>
        </w:rPr>
        <w:t xml:space="preserve">От Оренбургского научно-исследовательского института охраны и рационального использования природных ресурсов до Института степи УрО РАН </w:t>
      </w:r>
    </w:p>
    <w:p w:rsidR="00D42061" w:rsidRPr="00D42061" w:rsidRDefault="00D42061" w:rsidP="00D42061">
      <w:r w:rsidRPr="00D42061">
        <w:t xml:space="preserve">А.Г. Рябуха, к.г.н., Т.Н. Савинова, к.и.н. Институт степи УрО РАН </w:t>
      </w:r>
    </w:p>
    <w:p w:rsidR="00D42061" w:rsidRPr="00D42061" w:rsidRDefault="00D42061" w:rsidP="00D42061">
      <w:r w:rsidRPr="00D42061">
        <w:t>Статья посвящена истории создания Института степи – единственного на Урале и в УрО РАН академического географического института, являющегося мировым лидером в области комплексного фундаментального изучения геоэкологических проблем степной з</w:t>
      </w:r>
      <w:r>
        <w:t>оны Евразии и координатором меж</w:t>
      </w:r>
      <w:r w:rsidRPr="00D42061">
        <w:t xml:space="preserve">дународных исследований по данной тематике. Основное внимание уделено результатам проведенных исследований, как самого Института, так и организаций-предшественников, на научной базе которых он был организован, в области изучения и охраны природы степей. </w:t>
      </w:r>
    </w:p>
    <w:p w:rsidR="00F80AC8" w:rsidRPr="00D42061" w:rsidRDefault="00D42061" w:rsidP="00D42061">
      <w:r w:rsidRPr="00D42061">
        <w:t>Ключевые слова: Институт степи УрО РАН, охрана природы сте</w:t>
      </w:r>
      <w:r>
        <w:t>пи, Оренбургский научно-исследо</w:t>
      </w:r>
      <w:r w:rsidRPr="00D42061">
        <w:t>вательский институт охраны и рационального использования природных ресурсов,</w:t>
      </w:r>
      <w:r>
        <w:t xml:space="preserve"> Лаборатория ме</w:t>
      </w:r>
      <w:r w:rsidRPr="00D42061">
        <w:t>лиорации ландшафтов и охраны природы Оренбургского сельскохоз</w:t>
      </w:r>
      <w:r>
        <w:t>яйственного института, Оренбург</w:t>
      </w:r>
      <w:r w:rsidRPr="00D42061">
        <w:t>ский отдел степного природопользования, А.А. Чибилёв.</w:t>
      </w:r>
    </w:p>
    <w:p w:rsidR="006F2AA2" w:rsidRPr="00507025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>Международн</w:t>
      </w:r>
      <w:r w:rsidR="00F80AC8">
        <w:rPr>
          <w:b/>
        </w:rPr>
        <w:t>ое сотрудничество</w:t>
      </w:r>
      <w:r w:rsidRPr="00507025">
        <w:rPr>
          <w:b/>
        </w:rPr>
        <w:t xml:space="preserve"> </w:t>
      </w:r>
    </w:p>
    <w:p w:rsidR="006F2AA2" w:rsidRDefault="006F2AA2" w:rsidP="006F2AA2"/>
    <w:p w:rsidR="00D42061" w:rsidRPr="00D42061" w:rsidRDefault="00D42061" w:rsidP="00D42061">
      <w:pPr>
        <w:rPr>
          <w:b/>
        </w:rPr>
      </w:pPr>
      <w:r w:rsidRPr="00D42061">
        <w:rPr>
          <w:b/>
        </w:rPr>
        <w:lastRenderedPageBreak/>
        <w:t xml:space="preserve">Российско-Китайское сотрудничество в области использования и охраны трансграничных водных объектов: опыт и проблемы </w:t>
      </w:r>
    </w:p>
    <w:p w:rsidR="00D42061" w:rsidRPr="00D42061" w:rsidRDefault="00D42061" w:rsidP="00D42061">
      <w:r w:rsidRPr="00D42061">
        <w:t xml:space="preserve">М.В. Болгов, д.т.н., А. П. Демин, д.г.н., К.Ю. Шаталова, к.т.н. Институт водных проблем РАН </w:t>
      </w:r>
    </w:p>
    <w:p w:rsidR="00D42061" w:rsidRPr="00D42061" w:rsidRDefault="00D42061" w:rsidP="00D42061">
      <w:r w:rsidRPr="00D42061">
        <w:t>Рассмотрены основные положения, принятые в Соглашении между Правительством РФ и Правительством КНР о рациональном использовании и охране трансграничных вод. Показан</w:t>
      </w:r>
      <w:r>
        <w:t>ы основные вопросы, рассматрива</w:t>
      </w:r>
      <w:r w:rsidRPr="00D42061">
        <w:t>емые на заседании Совместной Российско-Китайской комиссии и ее рабочих группах. Представлены выводы по совместному докладу экспертов сторон о причинах возникновения и развития паводка 2013 г. в бассейне р. Амура. Показаны проблемы Китая, ощущающего острый дефицит водных ресурсов в связи с многочисленным населением и быстрорастущей экономикой. Выявлены огромные различия в интенсивности использования водных ресурсов в российской и китайской частях бассейна р. Амура. Сделан вывод о том, что д</w:t>
      </w:r>
      <w:r>
        <w:t>аже при расхождении мнений и на</w:t>
      </w:r>
      <w:r w:rsidRPr="00D42061">
        <w:t xml:space="preserve">личии противоречий по вопросам использования и охраны трансграничных водных ресурсов, институциональные механизмы позволяют преодолевать разногласия сторон. </w:t>
      </w:r>
    </w:p>
    <w:p w:rsidR="00F80AC8" w:rsidRPr="00D42061" w:rsidRDefault="00D42061" w:rsidP="00D42061">
      <w:r w:rsidRPr="00D42061">
        <w:t>Ключевые слова: трансграничные водные объекты, Российско-Китайская комиссия, дефицит водных ресурсов, мониторинг водных объектов, Амур, Иртыш.</w:t>
      </w:r>
    </w:p>
    <w:p w:rsidR="006F2AA2" w:rsidRPr="00507025" w:rsidRDefault="006F2AA2" w:rsidP="006F2AA2"/>
    <w:p w:rsidR="006F2AA2" w:rsidRPr="00507025" w:rsidRDefault="00F80AC8" w:rsidP="006F2AA2">
      <w:pPr>
        <w:rPr>
          <w:b/>
        </w:rPr>
      </w:pPr>
      <w:r>
        <w:rPr>
          <w:b/>
        </w:rPr>
        <w:t>Жизнь регионов</w:t>
      </w:r>
      <w:r w:rsidR="006F2AA2" w:rsidRPr="00507025">
        <w:rPr>
          <w:b/>
        </w:rPr>
        <w:t xml:space="preserve"> </w:t>
      </w:r>
    </w:p>
    <w:p w:rsidR="006F2AA2" w:rsidRDefault="006F2AA2" w:rsidP="006F2AA2"/>
    <w:p w:rsidR="00D42061" w:rsidRPr="00D42061" w:rsidRDefault="00D42061" w:rsidP="00D42061">
      <w:pPr>
        <w:rPr>
          <w:b/>
        </w:rPr>
      </w:pPr>
      <w:r w:rsidRPr="00D42061">
        <w:rPr>
          <w:b/>
        </w:rPr>
        <w:t xml:space="preserve">Чрезвычайная ситуация, связанная с лесными пожарами в Кобяйском улусе Республики Саха (Якутия) </w:t>
      </w:r>
    </w:p>
    <w:p w:rsidR="00D42061" w:rsidRPr="00D42061" w:rsidRDefault="00D42061" w:rsidP="00D42061">
      <w:r w:rsidRPr="00D42061">
        <w:t xml:space="preserve">С.Н. Левчикова, А.М. Сальва, к.г.-м.н. Горный институт Северо-Восточного федерального университета, г. Якутск </w:t>
      </w:r>
    </w:p>
    <w:p w:rsidR="00D42061" w:rsidRPr="00D42061" w:rsidRDefault="00D42061" w:rsidP="00D42061">
      <w:r w:rsidRPr="00D42061">
        <w:t>В статье рассматривается краткое географическое описание Кобяйского улуса Республики Саха (Якутия), где в 2013 г. был введен режим чрезвычайной ситуации, связанный с лесными пожарами. Предст</w:t>
      </w:r>
      <w:r>
        <w:t>авлены данные по коли</w:t>
      </w:r>
      <w:r w:rsidRPr="00D42061">
        <w:t xml:space="preserve">честву лесных пожаров, площадям охваченных огнем, а также подсчитывается материальный ущерб причиненный местному населению за период 2011-2015 гг. </w:t>
      </w:r>
    </w:p>
    <w:p w:rsidR="00F80AC8" w:rsidRPr="00D42061" w:rsidRDefault="00D42061" w:rsidP="00D42061">
      <w:r w:rsidRPr="00D42061">
        <w:t>Ключевые слова: лесной пожар, площадь охваченная огнем, материальный ущерб, чрезвычайная ситуация (ЧС), Кобяйский улус (район), Республика Саха (Якутия).</w:t>
      </w:r>
    </w:p>
    <w:p w:rsidR="00F80AC8" w:rsidRDefault="00F80AC8" w:rsidP="006F2AA2"/>
    <w:p w:rsidR="00F80AC8" w:rsidRPr="00507025" w:rsidRDefault="00F80AC8" w:rsidP="00F80AC8">
      <w:pPr>
        <w:rPr>
          <w:b/>
        </w:rPr>
      </w:pPr>
      <w:r>
        <w:rPr>
          <w:b/>
        </w:rPr>
        <w:t>П</w:t>
      </w:r>
      <w:r w:rsidRPr="00507025">
        <w:rPr>
          <w:b/>
        </w:rPr>
        <w:t xml:space="preserve">рирода </w:t>
      </w:r>
      <w:r>
        <w:rPr>
          <w:b/>
        </w:rPr>
        <w:t>и общество</w:t>
      </w:r>
    </w:p>
    <w:p w:rsidR="00F80AC8" w:rsidRDefault="00F80AC8" w:rsidP="00F80AC8"/>
    <w:p w:rsidR="00D42061" w:rsidRPr="00D42061" w:rsidRDefault="00D42061" w:rsidP="00D42061">
      <w:pPr>
        <w:rPr>
          <w:b/>
        </w:rPr>
      </w:pPr>
      <w:r w:rsidRPr="00D42061">
        <w:rPr>
          <w:b/>
        </w:rPr>
        <w:t xml:space="preserve">Социальные последствия и адаптация населения к климатическим изменениям </w:t>
      </w:r>
    </w:p>
    <w:p w:rsidR="00D42061" w:rsidRPr="00D42061" w:rsidRDefault="00D42061" w:rsidP="00D42061">
      <w:r w:rsidRPr="00D42061">
        <w:t xml:space="preserve">И.А. Сосунова, д.с.н., проф., Российское общество социологов </w:t>
      </w:r>
    </w:p>
    <w:p w:rsidR="00D42061" w:rsidRPr="00D42061" w:rsidRDefault="00D42061" w:rsidP="00D42061">
      <w:r w:rsidRPr="00D42061">
        <w:t>В статье рассматриваются актуальные проблемы социальных последствий глобального сокращения выбросов парниковых газов и адаптации социумов к климатическим изменениям. Привод</w:t>
      </w:r>
      <w:r>
        <w:t>ятся результаты эмпирических со</w:t>
      </w:r>
      <w:r w:rsidRPr="00D42061">
        <w:t xml:space="preserve">циологических исследований. </w:t>
      </w:r>
    </w:p>
    <w:p w:rsidR="00F80AC8" w:rsidRPr="00D42061" w:rsidRDefault="00D42061" w:rsidP="00D42061">
      <w:r w:rsidRPr="00D42061">
        <w:t>Ключевые слова: антропогенные экологические факторы, гендер, климатические из</w:t>
      </w:r>
      <w:r>
        <w:t>менения, общественное мне</w:t>
      </w:r>
      <w:r w:rsidRPr="00D42061">
        <w:t>ние, санкции, экологическая ситуация.</w:t>
      </w:r>
    </w:p>
    <w:p w:rsidR="00F80AC8" w:rsidRPr="00507025" w:rsidRDefault="00F80AC8" w:rsidP="00F80AC8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Календарь событий </w:t>
      </w:r>
    </w:p>
    <w:p w:rsidR="006F2AA2" w:rsidRDefault="006F2AA2" w:rsidP="006F2AA2"/>
    <w:p w:rsidR="006F2AA2" w:rsidRPr="004D303F" w:rsidRDefault="008762CF" w:rsidP="006F2AA2">
      <w:pPr>
        <w:rPr>
          <w:sz w:val="22"/>
        </w:rPr>
      </w:pPr>
      <w:r w:rsidRPr="004D303F">
        <w:rPr>
          <w:rStyle w:val="A9"/>
          <w:sz w:val="24"/>
        </w:rPr>
        <w:t>Международные, всероссийские и региональные научные и научно-технические совещания, конференции, симпозиумы, съезды, семинары, школы и выставки природно-ресурсной и природоохранной направленности (</w:t>
      </w:r>
      <w:r w:rsidR="00F80AC8" w:rsidRPr="004D303F">
        <w:rPr>
          <w:rStyle w:val="A9"/>
          <w:sz w:val="24"/>
        </w:rPr>
        <w:t>июнь</w:t>
      </w:r>
      <w:r w:rsidRPr="004D303F">
        <w:rPr>
          <w:rStyle w:val="A9"/>
          <w:sz w:val="24"/>
        </w:rPr>
        <w:t>, 2016 г.)</w:t>
      </w:r>
    </w:p>
    <w:p w:rsidR="006F2AA2" w:rsidRDefault="006F2AA2" w:rsidP="006F2AA2"/>
    <w:p w:rsidR="00F80AC8" w:rsidRPr="00507025" w:rsidRDefault="00F80AC8" w:rsidP="00F80AC8">
      <w:pPr>
        <w:rPr>
          <w:b/>
        </w:rPr>
      </w:pPr>
      <w:r>
        <w:rPr>
          <w:b/>
        </w:rPr>
        <w:t>Книжная полка</w:t>
      </w:r>
      <w:r w:rsidRPr="00507025">
        <w:rPr>
          <w:b/>
        </w:rPr>
        <w:t xml:space="preserve"> </w:t>
      </w:r>
    </w:p>
    <w:p w:rsidR="00F80AC8" w:rsidRDefault="00F80AC8" w:rsidP="00F80AC8"/>
    <w:p w:rsidR="00F80AC8" w:rsidRPr="004D303F" w:rsidRDefault="004D303F" w:rsidP="004D303F">
      <w:pPr>
        <w:rPr>
          <w:b/>
        </w:rPr>
      </w:pPr>
      <w:r w:rsidRPr="004D303F">
        <w:rPr>
          <w:b/>
        </w:rPr>
        <w:lastRenderedPageBreak/>
        <w:t>Ишков А.Г., Рыбальский Н.Г., Грачев В.А. Экологическая культура. – М.: Росэкоакадемия, 2015. – 416 с.</w:t>
      </w:r>
    </w:p>
    <w:p w:rsidR="00F80AC8" w:rsidRPr="00507025" w:rsidRDefault="00F80AC8" w:rsidP="00F80AC8"/>
    <w:sectPr w:rsidR="00F80AC8" w:rsidRPr="00507025" w:rsidSect="00E72EE4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A5B" w:rsidRDefault="00AE2A5B" w:rsidP="004D303F">
      <w:r>
        <w:separator/>
      </w:r>
    </w:p>
  </w:endnote>
  <w:endnote w:type="continuationSeparator" w:id="1">
    <w:p w:rsidR="00AE2A5B" w:rsidRDefault="00AE2A5B" w:rsidP="004D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TextBookC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PragmaticaC">
    <w:altName w:val="PragmaticaC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1326"/>
      <w:docPartObj>
        <w:docPartGallery w:val="Page Numbers (Bottom of Page)"/>
        <w:docPartUnique/>
      </w:docPartObj>
    </w:sdtPr>
    <w:sdtContent>
      <w:p w:rsidR="004D303F" w:rsidRDefault="004D303F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D303F" w:rsidRDefault="004D30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A5B" w:rsidRDefault="00AE2A5B" w:rsidP="004D303F">
      <w:r>
        <w:separator/>
      </w:r>
    </w:p>
  </w:footnote>
  <w:footnote w:type="continuationSeparator" w:id="1">
    <w:p w:rsidR="00AE2A5B" w:rsidRDefault="00AE2A5B" w:rsidP="004D3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AA2"/>
    <w:rsid w:val="00000898"/>
    <w:rsid w:val="000111DF"/>
    <w:rsid w:val="000119D1"/>
    <w:rsid w:val="00017304"/>
    <w:rsid w:val="00023BBD"/>
    <w:rsid w:val="000315DC"/>
    <w:rsid w:val="00083532"/>
    <w:rsid w:val="000A7409"/>
    <w:rsid w:val="000B18D3"/>
    <w:rsid w:val="000D066F"/>
    <w:rsid w:val="000F0BA9"/>
    <w:rsid w:val="00136980"/>
    <w:rsid w:val="00136FDF"/>
    <w:rsid w:val="001403A3"/>
    <w:rsid w:val="00144A85"/>
    <w:rsid w:val="00147517"/>
    <w:rsid w:val="001503AE"/>
    <w:rsid w:val="00154099"/>
    <w:rsid w:val="00166519"/>
    <w:rsid w:val="001669FB"/>
    <w:rsid w:val="0016765B"/>
    <w:rsid w:val="00186F4C"/>
    <w:rsid w:val="001954EA"/>
    <w:rsid w:val="001B0150"/>
    <w:rsid w:val="001B5213"/>
    <w:rsid w:val="001B6ABA"/>
    <w:rsid w:val="001C05A8"/>
    <w:rsid w:val="001C1E94"/>
    <w:rsid w:val="00204131"/>
    <w:rsid w:val="002164E7"/>
    <w:rsid w:val="00231083"/>
    <w:rsid w:val="00231A2A"/>
    <w:rsid w:val="002335AC"/>
    <w:rsid w:val="0024464F"/>
    <w:rsid w:val="00245755"/>
    <w:rsid w:val="002658DF"/>
    <w:rsid w:val="00266185"/>
    <w:rsid w:val="002671A8"/>
    <w:rsid w:val="00290442"/>
    <w:rsid w:val="002966BD"/>
    <w:rsid w:val="002B1FEE"/>
    <w:rsid w:val="002C6269"/>
    <w:rsid w:val="002D6D20"/>
    <w:rsid w:val="002E0125"/>
    <w:rsid w:val="002E5E15"/>
    <w:rsid w:val="00304692"/>
    <w:rsid w:val="00326832"/>
    <w:rsid w:val="0034135F"/>
    <w:rsid w:val="00356190"/>
    <w:rsid w:val="0036623C"/>
    <w:rsid w:val="00380CB3"/>
    <w:rsid w:val="003822CB"/>
    <w:rsid w:val="00383918"/>
    <w:rsid w:val="003845C0"/>
    <w:rsid w:val="003901CE"/>
    <w:rsid w:val="00393CC8"/>
    <w:rsid w:val="0039407F"/>
    <w:rsid w:val="003A3429"/>
    <w:rsid w:val="003C339B"/>
    <w:rsid w:val="003D5E61"/>
    <w:rsid w:val="003E4321"/>
    <w:rsid w:val="003F569B"/>
    <w:rsid w:val="004133F8"/>
    <w:rsid w:val="00426A79"/>
    <w:rsid w:val="00483F77"/>
    <w:rsid w:val="004A490A"/>
    <w:rsid w:val="004B2DFC"/>
    <w:rsid w:val="004C4F80"/>
    <w:rsid w:val="004D303F"/>
    <w:rsid w:val="004D699B"/>
    <w:rsid w:val="00515F8A"/>
    <w:rsid w:val="00521AEF"/>
    <w:rsid w:val="00525657"/>
    <w:rsid w:val="005262E9"/>
    <w:rsid w:val="005434F0"/>
    <w:rsid w:val="005504A9"/>
    <w:rsid w:val="00551872"/>
    <w:rsid w:val="005520DA"/>
    <w:rsid w:val="005918DD"/>
    <w:rsid w:val="005A49A5"/>
    <w:rsid w:val="005A6512"/>
    <w:rsid w:val="005A760A"/>
    <w:rsid w:val="005C6B5D"/>
    <w:rsid w:val="005D1EF9"/>
    <w:rsid w:val="005D2CC7"/>
    <w:rsid w:val="005E0D5D"/>
    <w:rsid w:val="005E29A9"/>
    <w:rsid w:val="005F041C"/>
    <w:rsid w:val="005F7DC6"/>
    <w:rsid w:val="00622166"/>
    <w:rsid w:val="00653CF1"/>
    <w:rsid w:val="00655D0F"/>
    <w:rsid w:val="00657D53"/>
    <w:rsid w:val="00661113"/>
    <w:rsid w:val="0066364C"/>
    <w:rsid w:val="00674BE5"/>
    <w:rsid w:val="00676DBD"/>
    <w:rsid w:val="00687821"/>
    <w:rsid w:val="00690B64"/>
    <w:rsid w:val="00694B49"/>
    <w:rsid w:val="006B1249"/>
    <w:rsid w:val="006B5947"/>
    <w:rsid w:val="006C4DB2"/>
    <w:rsid w:val="006C59FB"/>
    <w:rsid w:val="006D0130"/>
    <w:rsid w:val="006E1EB7"/>
    <w:rsid w:val="006F2AA2"/>
    <w:rsid w:val="00710959"/>
    <w:rsid w:val="00722E58"/>
    <w:rsid w:val="007304B9"/>
    <w:rsid w:val="0073706B"/>
    <w:rsid w:val="00744925"/>
    <w:rsid w:val="00744D45"/>
    <w:rsid w:val="0075774A"/>
    <w:rsid w:val="00763AE9"/>
    <w:rsid w:val="00766878"/>
    <w:rsid w:val="00781C8F"/>
    <w:rsid w:val="00787C9A"/>
    <w:rsid w:val="00796DF7"/>
    <w:rsid w:val="007A755A"/>
    <w:rsid w:val="007A7AB2"/>
    <w:rsid w:val="007B6D35"/>
    <w:rsid w:val="007B6F67"/>
    <w:rsid w:val="007B7B0E"/>
    <w:rsid w:val="007C04EB"/>
    <w:rsid w:val="00807A71"/>
    <w:rsid w:val="008111A3"/>
    <w:rsid w:val="00827F23"/>
    <w:rsid w:val="00831815"/>
    <w:rsid w:val="0084207A"/>
    <w:rsid w:val="00853902"/>
    <w:rsid w:val="00870768"/>
    <w:rsid w:val="008738FC"/>
    <w:rsid w:val="008762CF"/>
    <w:rsid w:val="00880D3E"/>
    <w:rsid w:val="00885B1D"/>
    <w:rsid w:val="00886A68"/>
    <w:rsid w:val="00894F76"/>
    <w:rsid w:val="008A0E6E"/>
    <w:rsid w:val="008C3E0F"/>
    <w:rsid w:val="008D08DD"/>
    <w:rsid w:val="008E7344"/>
    <w:rsid w:val="008F29AB"/>
    <w:rsid w:val="0092002B"/>
    <w:rsid w:val="00931238"/>
    <w:rsid w:val="0093628C"/>
    <w:rsid w:val="00947EDC"/>
    <w:rsid w:val="009766EA"/>
    <w:rsid w:val="00981BEE"/>
    <w:rsid w:val="0098588B"/>
    <w:rsid w:val="00995D0A"/>
    <w:rsid w:val="009B32EE"/>
    <w:rsid w:val="009D24A2"/>
    <w:rsid w:val="009D4AB4"/>
    <w:rsid w:val="009D517D"/>
    <w:rsid w:val="009D66F7"/>
    <w:rsid w:val="00A137D5"/>
    <w:rsid w:val="00A1681C"/>
    <w:rsid w:val="00A209E6"/>
    <w:rsid w:val="00A21F46"/>
    <w:rsid w:val="00A23EE7"/>
    <w:rsid w:val="00A246C5"/>
    <w:rsid w:val="00A3211C"/>
    <w:rsid w:val="00A52CF4"/>
    <w:rsid w:val="00A72FF9"/>
    <w:rsid w:val="00A773EB"/>
    <w:rsid w:val="00A9282F"/>
    <w:rsid w:val="00AA5812"/>
    <w:rsid w:val="00AC4E9B"/>
    <w:rsid w:val="00AD47A2"/>
    <w:rsid w:val="00AE2A5B"/>
    <w:rsid w:val="00AE5898"/>
    <w:rsid w:val="00AF7B7C"/>
    <w:rsid w:val="00B019EB"/>
    <w:rsid w:val="00B163D4"/>
    <w:rsid w:val="00B16EC6"/>
    <w:rsid w:val="00B3424D"/>
    <w:rsid w:val="00B45464"/>
    <w:rsid w:val="00B46C2D"/>
    <w:rsid w:val="00B47A76"/>
    <w:rsid w:val="00B513BA"/>
    <w:rsid w:val="00B65AEB"/>
    <w:rsid w:val="00B773CA"/>
    <w:rsid w:val="00B81626"/>
    <w:rsid w:val="00B86BB4"/>
    <w:rsid w:val="00B91B3D"/>
    <w:rsid w:val="00BC2CCB"/>
    <w:rsid w:val="00BC5218"/>
    <w:rsid w:val="00BE7BFB"/>
    <w:rsid w:val="00C019F4"/>
    <w:rsid w:val="00C15257"/>
    <w:rsid w:val="00C22FCD"/>
    <w:rsid w:val="00C26E99"/>
    <w:rsid w:val="00C33777"/>
    <w:rsid w:val="00C45F18"/>
    <w:rsid w:val="00C472AF"/>
    <w:rsid w:val="00C56BAF"/>
    <w:rsid w:val="00C82629"/>
    <w:rsid w:val="00C86DD0"/>
    <w:rsid w:val="00CA015A"/>
    <w:rsid w:val="00CB40BE"/>
    <w:rsid w:val="00CC078F"/>
    <w:rsid w:val="00CC2271"/>
    <w:rsid w:val="00CC27E9"/>
    <w:rsid w:val="00CD0388"/>
    <w:rsid w:val="00D029D8"/>
    <w:rsid w:val="00D03AB7"/>
    <w:rsid w:val="00D05B31"/>
    <w:rsid w:val="00D2477C"/>
    <w:rsid w:val="00D42061"/>
    <w:rsid w:val="00D44F81"/>
    <w:rsid w:val="00D46654"/>
    <w:rsid w:val="00D565FA"/>
    <w:rsid w:val="00D5677E"/>
    <w:rsid w:val="00D669DE"/>
    <w:rsid w:val="00D70F1D"/>
    <w:rsid w:val="00D75117"/>
    <w:rsid w:val="00D75C23"/>
    <w:rsid w:val="00D95B63"/>
    <w:rsid w:val="00DA06CA"/>
    <w:rsid w:val="00DC40F0"/>
    <w:rsid w:val="00DC426D"/>
    <w:rsid w:val="00DC5B1F"/>
    <w:rsid w:val="00DD4DE7"/>
    <w:rsid w:val="00DF3D62"/>
    <w:rsid w:val="00E2738E"/>
    <w:rsid w:val="00E31117"/>
    <w:rsid w:val="00E32C93"/>
    <w:rsid w:val="00E33121"/>
    <w:rsid w:val="00E369B6"/>
    <w:rsid w:val="00E470F1"/>
    <w:rsid w:val="00E66085"/>
    <w:rsid w:val="00E67B15"/>
    <w:rsid w:val="00E750ED"/>
    <w:rsid w:val="00E81BF0"/>
    <w:rsid w:val="00E863A2"/>
    <w:rsid w:val="00E92A25"/>
    <w:rsid w:val="00E95DBD"/>
    <w:rsid w:val="00E95DC3"/>
    <w:rsid w:val="00ED1F28"/>
    <w:rsid w:val="00ED2083"/>
    <w:rsid w:val="00ED4828"/>
    <w:rsid w:val="00ED7FD5"/>
    <w:rsid w:val="00F0328A"/>
    <w:rsid w:val="00F06843"/>
    <w:rsid w:val="00F14962"/>
    <w:rsid w:val="00F418C9"/>
    <w:rsid w:val="00F453B1"/>
    <w:rsid w:val="00F522CB"/>
    <w:rsid w:val="00F735DB"/>
    <w:rsid w:val="00F80AC8"/>
    <w:rsid w:val="00F83B29"/>
    <w:rsid w:val="00F86987"/>
    <w:rsid w:val="00FA70FE"/>
    <w:rsid w:val="00FC0F8E"/>
    <w:rsid w:val="00FC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A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5464"/>
    <w:pPr>
      <w:contextualSpacing/>
    </w:pPr>
    <w:rPr>
      <w:rFonts w:eastAsia="Times New Roman"/>
    </w:rPr>
  </w:style>
  <w:style w:type="paragraph" w:customStyle="1" w:styleId="Default">
    <w:name w:val="Default"/>
    <w:rsid w:val="006F2AA2"/>
    <w:pPr>
      <w:autoSpaceDE w:val="0"/>
      <w:autoSpaceDN w:val="0"/>
      <w:adjustRightInd w:val="0"/>
      <w:ind w:firstLine="0"/>
      <w:jc w:val="left"/>
    </w:pPr>
    <w:rPr>
      <w:rFonts w:ascii="TextBookC" w:hAnsi="TextBookC" w:cs="TextBookC"/>
      <w:color w:val="000000"/>
      <w:sz w:val="24"/>
      <w:szCs w:val="24"/>
    </w:rPr>
  </w:style>
  <w:style w:type="character" w:customStyle="1" w:styleId="A00">
    <w:name w:val="A0"/>
    <w:uiPriority w:val="99"/>
    <w:rsid w:val="006F2AA2"/>
    <w:rPr>
      <w:rFonts w:cs="TextBookC"/>
      <w:i/>
      <w:iCs/>
      <w:color w:val="221E1F"/>
      <w:sz w:val="20"/>
      <w:szCs w:val="20"/>
    </w:rPr>
  </w:style>
  <w:style w:type="character" w:customStyle="1" w:styleId="A12">
    <w:name w:val="A12"/>
    <w:uiPriority w:val="99"/>
    <w:rsid w:val="006F2AA2"/>
    <w:rPr>
      <w:rFonts w:cs="TextBookC"/>
      <w:i/>
      <w:iCs/>
      <w:color w:val="221E1F"/>
      <w:sz w:val="11"/>
      <w:szCs w:val="11"/>
    </w:rPr>
  </w:style>
  <w:style w:type="character" w:customStyle="1" w:styleId="A7">
    <w:name w:val="A7"/>
    <w:uiPriority w:val="99"/>
    <w:rsid w:val="006F2AA2"/>
    <w:rPr>
      <w:rFonts w:ascii="PetersburgC" w:hAnsi="PetersburgC" w:cs="PetersburgC"/>
      <w:color w:val="221E1F"/>
      <w:sz w:val="18"/>
      <w:szCs w:val="18"/>
    </w:rPr>
  </w:style>
  <w:style w:type="paragraph" w:customStyle="1" w:styleId="Pa22">
    <w:name w:val="Pa22"/>
    <w:basedOn w:val="Default"/>
    <w:next w:val="Default"/>
    <w:uiPriority w:val="99"/>
    <w:rsid w:val="006F2AA2"/>
    <w:pPr>
      <w:spacing w:line="36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5E0D5D"/>
    <w:pPr>
      <w:spacing w:line="24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5E0D5D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10959"/>
    <w:rPr>
      <w:rFonts w:cs="TextBookC"/>
      <w:b/>
      <w:bCs/>
      <w:color w:val="221E1F"/>
      <w:sz w:val="32"/>
      <w:szCs w:val="32"/>
    </w:rPr>
  </w:style>
  <w:style w:type="character" w:customStyle="1" w:styleId="A18">
    <w:name w:val="A18"/>
    <w:uiPriority w:val="99"/>
    <w:rsid w:val="002E0125"/>
    <w:rPr>
      <w:rFonts w:cs="TextBookC"/>
      <w:i/>
      <w:iCs/>
      <w:color w:val="221E1F"/>
      <w:sz w:val="10"/>
      <w:szCs w:val="10"/>
    </w:rPr>
  </w:style>
  <w:style w:type="character" w:customStyle="1" w:styleId="A14">
    <w:name w:val="A14"/>
    <w:uiPriority w:val="99"/>
    <w:rsid w:val="00C86DD0"/>
    <w:rPr>
      <w:rFonts w:ascii="PetersburgC" w:hAnsi="PetersburgC" w:cs="PetersburgC"/>
      <w:color w:val="221E1F"/>
      <w:sz w:val="10"/>
      <w:szCs w:val="10"/>
    </w:rPr>
  </w:style>
  <w:style w:type="paragraph" w:customStyle="1" w:styleId="Pa41">
    <w:name w:val="Pa41"/>
    <w:basedOn w:val="Default"/>
    <w:next w:val="Default"/>
    <w:uiPriority w:val="99"/>
    <w:rsid w:val="00C22FCD"/>
    <w:pPr>
      <w:spacing w:line="18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8762CF"/>
    <w:rPr>
      <w:rFonts w:cs="PragmaticaC"/>
      <w:b/>
      <w:bCs/>
      <w:color w:val="221E1F"/>
      <w:sz w:val="26"/>
      <w:szCs w:val="26"/>
    </w:rPr>
  </w:style>
  <w:style w:type="paragraph" w:customStyle="1" w:styleId="Pa24">
    <w:name w:val="Pa24"/>
    <w:basedOn w:val="Default"/>
    <w:next w:val="Default"/>
    <w:uiPriority w:val="99"/>
    <w:rsid w:val="00F80AC8"/>
    <w:pPr>
      <w:spacing w:line="24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AE5898"/>
    <w:pPr>
      <w:spacing w:line="36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AE5898"/>
    <w:rPr>
      <w:rFonts w:cs="TextBookC"/>
      <w:b/>
      <w:bCs/>
      <w:color w:val="221E1F"/>
      <w:sz w:val="32"/>
      <w:szCs w:val="32"/>
    </w:rPr>
  </w:style>
  <w:style w:type="character" w:customStyle="1" w:styleId="A17">
    <w:name w:val="A17"/>
    <w:uiPriority w:val="99"/>
    <w:rsid w:val="00D2477C"/>
    <w:rPr>
      <w:rFonts w:cs="TextBookC"/>
      <w:i/>
      <w:iCs/>
      <w:color w:val="221E1F"/>
      <w:sz w:val="10"/>
      <w:szCs w:val="10"/>
    </w:rPr>
  </w:style>
  <w:style w:type="paragraph" w:customStyle="1" w:styleId="Pa37">
    <w:name w:val="Pa37"/>
    <w:basedOn w:val="Default"/>
    <w:next w:val="Default"/>
    <w:uiPriority w:val="99"/>
    <w:rsid w:val="00D42061"/>
    <w:pPr>
      <w:spacing w:line="18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D42061"/>
    <w:pPr>
      <w:spacing w:line="181" w:lineRule="atLeast"/>
    </w:pPr>
    <w:rPr>
      <w:rFonts w:cstheme="minorBidi"/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4D30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03F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8"/>
    <w:uiPriority w:val="99"/>
    <w:unhideWhenUsed/>
    <w:rsid w:val="004D30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6"/>
    <w:uiPriority w:val="99"/>
    <w:rsid w:val="004D303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7</cp:revision>
  <dcterms:created xsi:type="dcterms:W3CDTF">2016-05-25T07:35:00Z</dcterms:created>
  <dcterms:modified xsi:type="dcterms:W3CDTF">2016-05-25T08:28:00Z</dcterms:modified>
</cp:coreProperties>
</file>